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overflowPunct w:val="true"/>
        <w:bidi w:val="0"/>
        <w:spacing w:before="120" w:after="0"/>
        <w:jc w:val="center"/>
        <w:textAlignment w:val="baseline"/>
        <w:rPr>
          <w:rFonts w:ascii="Calibri" w:hAnsi="Calibri" w:cs="Calibri"/>
          <w:color w:val="FF0000"/>
          <w:sz w:val="28"/>
          <w:szCs w:val="28"/>
          <w:highlight w:val="white"/>
        </w:rPr>
      </w:pPr>
      <w:r>
        <w:rPr>
          <w:rFonts w:ascii="Calibri" w:hAnsi="Calibri" w:cs="Calibri"/>
          <w:color w:val="FF0000"/>
          <w:sz w:val="28"/>
          <w:sz w:val="28"/>
          <w:szCs w:val="28"/>
          <w:highlight w:val="white"/>
          <w:rtl w:val="true"/>
        </w:rPr>
        <w:t>بِسْمِ اللّٰهِ الرَّحْمٰنِ الرَّحِيمِ</w:t>
      </w:r>
    </w:p>
    <w:p>
      <w:pPr>
        <w:pStyle w:val="Normal"/>
        <w:overflowPunct w:val="true"/>
        <w:bidi w:val="0"/>
        <w:spacing w:before="120" w:after="0"/>
        <w:jc w:val="center"/>
        <w:textAlignment w:val="baseline"/>
        <w:rPr>
          <w:rFonts w:ascii="Calibri" w:hAnsi="Calibri" w:cs="Calibri"/>
          <w:color w:val="FF0000"/>
          <w:sz w:val="28"/>
          <w:szCs w:val="28"/>
          <w:highlight w:val="white"/>
        </w:rPr>
      </w:pPr>
      <w:r>
        <w:rPr>
          <w:rFonts w:ascii="Calibri" w:hAnsi="Calibri" w:cs="Calibri"/>
          <w:color w:val="FF0000"/>
          <w:sz w:val="28"/>
          <w:sz w:val="28"/>
          <w:szCs w:val="28"/>
          <w:highlight w:val="white"/>
          <w:rtl w:val="true"/>
        </w:rPr>
        <w:t>وَ بِهِ نَسْتَعِينُ</w:t>
      </w:r>
    </w:p>
    <w:p>
      <w:pPr>
        <w:pStyle w:val="Normal"/>
        <w:overflowPunct w:val="true"/>
        <w:bidi w:val="0"/>
        <w:spacing w:before="120" w:after="0"/>
        <w:jc w:val="center"/>
        <w:textAlignment w:val="baseline"/>
        <w:rPr>
          <w:rFonts w:ascii="Calibri" w:hAnsi="Calibri" w:cs="Calibri"/>
          <w:color w:val="FF0000"/>
          <w:sz w:val="28"/>
          <w:szCs w:val="28"/>
          <w:highlight w:val="white"/>
        </w:rPr>
      </w:pPr>
      <w:r>
        <w:rPr>
          <w:rFonts w:ascii="Calibri" w:hAnsi="Calibri" w:cs="Calibri"/>
          <w:color w:val="FF0000"/>
          <w:sz w:val="28"/>
          <w:sz w:val="28"/>
          <w:szCs w:val="28"/>
          <w:highlight w:val="white"/>
          <w:rtl w:val="true"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>
      <w:pPr>
        <w:pStyle w:val="MetinGvdesiGirintisi"/>
        <w:bidi w:val="0"/>
        <w:spacing w:before="120" w:after="0"/>
        <w:ind w:hanging="0"/>
        <w:jc w:val="center"/>
        <w:rPr>
          <w:b w:val="false"/>
          <w:b w:val="false"/>
          <w:bCs w:val="false"/>
          <w:color w:val="0000B0"/>
          <w:sz w:val="28"/>
          <w:szCs w:val="28"/>
        </w:rPr>
      </w:pPr>
      <w:bookmarkStart w:id="0" w:name="__DdeLink__440_2683676451"/>
      <w:r>
        <w:rPr>
          <w:rFonts w:cs="Calibri" w:ascii="Calibri" w:hAnsi="Calibri"/>
          <w:b w:val="false"/>
          <w:bCs w:val="false"/>
          <w:color w:val="0000B0"/>
          <w:sz w:val="28"/>
          <w:szCs w:val="28"/>
        </w:rPr>
        <w:t>MÜFRİTANE İRTİBATTAN MAKSAD NEDİR</w:t>
      </w:r>
      <w:bookmarkEnd w:id="0"/>
      <w:r>
        <w:rPr>
          <w:rFonts w:cs="Calibri" w:ascii="Calibri" w:hAnsi="Calibri"/>
          <w:b w:val="false"/>
          <w:bCs w:val="false"/>
          <w:color w:val="0000B0"/>
          <w:sz w:val="28"/>
          <w:szCs w:val="28"/>
        </w:rPr>
        <w:t xml:space="preserve">? </w:t>
      </w:r>
    </w:p>
    <w:p>
      <w:pPr>
        <w:pStyle w:val="MetinGvdesiGirintisi"/>
        <w:bidi w:val="0"/>
        <w:spacing w:before="120" w:after="0"/>
        <w:ind w:hanging="0"/>
        <w:rPr>
          <w:rFonts w:ascii="Calibri" w:hAnsi="Calibri" w:cs="Calibri"/>
        </w:rPr>
      </w:pPr>
      <w:r>
        <w:rPr>
          <w:rFonts w:cs="Calibri" w:ascii="Calibri" w:hAnsi="Calibri"/>
          <w:color w:val="000000"/>
          <w:szCs w:val="24"/>
        </w:rPr>
        <w:t>Müfritane irtibattan maksad nedir? Sualinize cevab için, aynı manadaki tekrarlar hariç olarak külliyatta şu ifadeleri gordüm:</w:t>
      </w:r>
    </w:p>
    <w:p>
      <w:pPr>
        <w:pStyle w:val="MetinGvdesiGirintisi"/>
        <w:bidi w:val="0"/>
        <w:spacing w:before="120" w:after="0"/>
        <w:ind w:hanging="0"/>
        <w:rPr>
          <w:rFonts w:ascii="Calibri" w:hAnsi="Calibri" w:cs="Calibri"/>
        </w:rPr>
      </w:pPr>
      <w:r>
        <w:rPr>
          <w:rFonts w:cs="Calibri" w:ascii="Calibri" w:hAnsi="Calibri"/>
          <w:b/>
          <w:color w:val="000000"/>
          <w:szCs w:val="24"/>
        </w:rPr>
        <w:t>Risale-i Nur’a irtibat:</w:t>
      </w:r>
    </w:p>
    <w:p>
      <w:pPr>
        <w:pStyle w:val="MetinGvdesiGirintisi"/>
        <w:bidi w:val="0"/>
        <w:spacing w:before="120" w:after="0"/>
        <w:ind w:hanging="0"/>
        <w:rPr>
          <w:rFonts w:ascii="Calibri" w:hAnsi="Calibri" w:cs="Calibri"/>
        </w:rPr>
      </w:pPr>
      <w:r>
        <w:rPr>
          <w:rFonts w:cs="Calibri" w:ascii="Calibri" w:hAnsi="Calibri"/>
          <w:color w:val="000000"/>
          <w:szCs w:val="24"/>
        </w:rPr>
        <w:t>Hüsrev’in.....Risale-i Nur’a karşı irtibatı</w:t>
      </w:r>
      <w:r>
        <w:rPr>
          <w:rFonts w:cs="Calibri" w:ascii="Calibri" w:hAnsi="Calibri"/>
          <w:b/>
          <w:bCs/>
          <w:color w:val="000000"/>
          <w:szCs w:val="24"/>
        </w:rPr>
        <w:t>...(K 109)</w:t>
      </w:r>
    </w:p>
    <w:p>
      <w:pPr>
        <w:pStyle w:val="MetinGvdesiGirintisi"/>
        <w:bidi w:val="0"/>
        <w:spacing w:before="120" w:after="0"/>
        <w:ind w:hanging="0"/>
        <w:rPr>
          <w:rFonts w:ascii="Calibri" w:hAnsi="Calibri" w:cs="Calibri"/>
        </w:rPr>
      </w:pPr>
      <w:r>
        <w:rPr>
          <w:rFonts w:cs="Calibri" w:ascii="Calibri" w:hAnsi="Calibri"/>
          <w:color w:val="000000"/>
          <w:szCs w:val="24"/>
        </w:rPr>
        <w:t>“</w:t>
      </w:r>
      <w:r>
        <w:rPr>
          <w:rFonts w:cs="Calibri" w:ascii="Calibri" w:hAnsi="Calibri"/>
          <w:color w:val="000000"/>
          <w:szCs w:val="24"/>
        </w:rPr>
        <w:t xml:space="preserve">Benim haddimden fazla mevki vermeyiniz, diye sizden darılıyorum. Yalnız, Kur’an-ı Hakîm’in bu zamanda bir mu’cize-i maneviyesi olan Risale-i Nur hesabına, ben de onun bir şakirdi olmak haysiyetiyle ona karşı tasdikkârane teslimi ve irtibatı, şakirane kabul ediyorum.” </w:t>
      </w:r>
      <w:r>
        <w:rPr>
          <w:rFonts w:cs="Calibri" w:ascii="Calibri" w:hAnsi="Calibri"/>
          <w:b/>
          <w:bCs/>
          <w:color w:val="000000"/>
          <w:szCs w:val="24"/>
        </w:rPr>
        <w:t>(K 146)</w:t>
      </w:r>
    </w:p>
    <w:p>
      <w:pPr>
        <w:pStyle w:val="MetinGvdesiGirintisi"/>
        <w:bidi w:val="0"/>
        <w:spacing w:before="120" w:after="0"/>
        <w:ind w:hanging="0"/>
        <w:rPr>
          <w:rFonts w:ascii="Calibri" w:hAnsi="Calibri" w:cs="Calibri"/>
        </w:rPr>
      </w:pPr>
      <w:r>
        <w:rPr>
          <w:rFonts w:cs="Calibri" w:ascii="Calibri" w:hAnsi="Calibri"/>
          <w:color w:val="000000"/>
          <w:szCs w:val="24"/>
        </w:rPr>
        <w:t>“</w:t>
      </w:r>
      <w:r>
        <w:rPr>
          <w:rFonts w:cs="Calibri" w:ascii="Calibri" w:hAnsi="Calibri"/>
          <w:color w:val="000000"/>
          <w:szCs w:val="24"/>
        </w:rPr>
        <w:t xml:space="preserve">....bir iki yüksek ihtiyarın Risale-i Nur’a parlak irtibatları”  </w:t>
      </w:r>
      <w:r>
        <w:rPr>
          <w:rFonts w:cs="Calibri" w:ascii="Calibri" w:hAnsi="Calibri"/>
          <w:b/>
          <w:bCs/>
          <w:color w:val="000000"/>
          <w:szCs w:val="24"/>
        </w:rPr>
        <w:t>(K 155)</w:t>
      </w:r>
    </w:p>
    <w:p>
      <w:pPr>
        <w:pStyle w:val="MetinGvdesiGirintisi"/>
        <w:bidi w:val="0"/>
        <w:spacing w:before="120" w:after="0"/>
        <w:ind w:hanging="0"/>
        <w:rPr>
          <w:rFonts w:ascii="Calibri" w:hAnsi="Calibri" w:cs="Calibri"/>
        </w:rPr>
      </w:pPr>
      <w:r>
        <w:rPr>
          <w:rFonts w:cs="Calibri" w:ascii="Calibri" w:hAnsi="Calibri"/>
          <w:color w:val="000000"/>
          <w:szCs w:val="24"/>
        </w:rPr>
        <w:t>“</w:t>
      </w:r>
      <w:r>
        <w:rPr>
          <w:rFonts w:cs="Calibri" w:ascii="Calibri" w:hAnsi="Calibri"/>
          <w:color w:val="000000"/>
          <w:szCs w:val="24"/>
        </w:rPr>
        <w:t>....Hulisi, Hakkı gibi yirmi seneye yakın bir zamandan beri mabeylerinde olan samimane dostluk ve kardeşlik tam devam ve sebat ettiği gibi; onların Risale-i Nur’a karşı alâka ve irtibat ve sadakatları”</w:t>
      </w:r>
      <w:r>
        <w:rPr>
          <w:rFonts w:cs="Calibri" w:ascii="Calibri" w:hAnsi="Calibri"/>
          <w:b/>
          <w:bCs/>
          <w:color w:val="000000"/>
          <w:szCs w:val="24"/>
        </w:rPr>
        <w:t xml:space="preserve">  (Em 92)</w:t>
      </w:r>
    </w:p>
    <w:p>
      <w:pPr>
        <w:pStyle w:val="MetinGvdesiGirintisi"/>
        <w:bidi w:val="0"/>
        <w:spacing w:before="120" w:after="0"/>
        <w:ind w:hanging="0"/>
        <w:rPr>
          <w:rFonts w:ascii="Calibri" w:hAnsi="Calibri" w:cs="Calibri"/>
        </w:rPr>
      </w:pPr>
      <w:r>
        <w:rPr>
          <w:rFonts w:cs="Calibri" w:ascii="Calibri" w:hAnsi="Calibri"/>
          <w:color w:val="000000"/>
          <w:szCs w:val="24"/>
        </w:rPr>
        <w:t>“</w:t>
      </w:r>
      <w:r>
        <w:rPr>
          <w:rFonts w:cs="Calibri" w:ascii="Calibri" w:hAnsi="Calibri"/>
          <w:color w:val="000000"/>
          <w:szCs w:val="24"/>
        </w:rPr>
        <w:t>.....makamlara irtibatınızı bağlamayınız....hüsn-ü zan ve müfritane âlî makam vermek yerine, fevkalâde sadakat ve sebat ve müfritane irtibat ve ihlâs lâzımdır.” (</w:t>
      </w:r>
      <w:r>
        <w:rPr>
          <w:rFonts w:cs="Calibri" w:ascii="Calibri" w:hAnsi="Calibri"/>
          <w:b/>
          <w:bCs/>
          <w:color w:val="000000"/>
          <w:szCs w:val="24"/>
        </w:rPr>
        <w:t>K 89)</w:t>
      </w:r>
    </w:p>
    <w:p>
      <w:pPr>
        <w:pStyle w:val="MetinGvdesiGirintisi"/>
        <w:bidi w:val="0"/>
        <w:spacing w:before="120" w:after="0"/>
        <w:ind w:hanging="0"/>
        <w:rPr>
          <w:rFonts w:ascii="Calibri" w:hAnsi="Calibri" w:cs="Calibri"/>
          <w:b/>
          <w:b/>
          <w:color w:val="000000"/>
          <w:szCs w:val="24"/>
        </w:rPr>
      </w:pPr>
      <w:r>
        <w:rPr>
          <w:rFonts w:cs="Calibri" w:ascii="Calibri" w:hAnsi="Calibri"/>
          <w:b/>
          <w:color w:val="000000"/>
          <w:szCs w:val="24"/>
        </w:rPr>
        <w:t>Hizmet yeri ile muhabere irtibatı:</w:t>
      </w:r>
    </w:p>
    <w:p>
      <w:pPr>
        <w:pStyle w:val="MetinGvdesiGirintisi"/>
        <w:bidi w:val="0"/>
        <w:spacing w:before="120" w:after="0"/>
        <w:ind w:hanging="0"/>
        <w:rPr>
          <w:rFonts w:ascii="Calibri" w:hAnsi="Calibri" w:cs="Calibri"/>
        </w:rPr>
      </w:pPr>
      <w:r>
        <w:rPr>
          <w:rFonts w:cs="Calibri" w:ascii="Calibri" w:hAnsi="Calibri"/>
          <w:color w:val="000000"/>
          <w:szCs w:val="24"/>
        </w:rPr>
        <w:t>“</w:t>
      </w:r>
      <w:r>
        <w:rPr>
          <w:rFonts w:cs="Calibri" w:ascii="Calibri" w:hAnsi="Calibri"/>
          <w:color w:val="000000"/>
          <w:szCs w:val="24"/>
        </w:rPr>
        <w:t>.....Hasan Feyzinin Denizli Şakirdlerinin hesabına tebriki dahi onun yüksek irtibatını, kuvvetli alâkasını gösterdi.....Nazif’in o havalideki kardeşlerimizin namına tebriki ve Nazif’in sarsılmaz sadakat ve irtibatı”</w:t>
      </w:r>
      <w:r>
        <w:rPr>
          <w:rFonts w:cs="Calibri" w:ascii="Calibri" w:hAnsi="Calibri"/>
          <w:b/>
          <w:bCs/>
          <w:color w:val="000000"/>
          <w:szCs w:val="24"/>
        </w:rPr>
        <w:t xml:space="preserve">  (Em 95)</w:t>
      </w:r>
    </w:p>
    <w:p>
      <w:pPr>
        <w:pStyle w:val="MetinGvdesiGirintisi"/>
        <w:bidi w:val="0"/>
        <w:spacing w:before="120" w:after="0"/>
        <w:ind w:hanging="0"/>
        <w:rPr>
          <w:rFonts w:ascii="Calibri" w:hAnsi="Calibri" w:cs="Calibri"/>
        </w:rPr>
      </w:pPr>
      <w:r>
        <w:rPr>
          <w:rFonts w:cs="Calibri" w:ascii="Calibri" w:hAnsi="Calibri"/>
          <w:color w:val="000000"/>
          <w:szCs w:val="24"/>
        </w:rPr>
        <w:t>“</w:t>
      </w:r>
      <w:r>
        <w:rPr>
          <w:rFonts w:cs="Calibri" w:ascii="Calibri" w:hAnsi="Calibri"/>
          <w:color w:val="000000"/>
          <w:szCs w:val="24"/>
        </w:rPr>
        <w:t>....Mehmed Feyzi ve Emin’in......çok ziyade tavsıfatlarımı......Üstadlarına bir alamet-i sadakat ve bir vesika-i itikad ve irtibattır.”  (</w:t>
      </w:r>
      <w:r>
        <w:rPr>
          <w:rFonts w:cs="Calibri" w:ascii="Calibri" w:hAnsi="Calibri"/>
          <w:b/>
          <w:bCs/>
          <w:color w:val="000000"/>
          <w:szCs w:val="24"/>
        </w:rPr>
        <w:t>Em 151</w:t>
      </w:r>
      <w:r>
        <w:rPr>
          <w:rFonts w:cs="Calibri" w:ascii="Calibri" w:hAnsi="Calibri"/>
          <w:color w:val="000000"/>
          <w:szCs w:val="24"/>
        </w:rPr>
        <w:t>)</w:t>
      </w:r>
    </w:p>
    <w:p>
      <w:pPr>
        <w:pStyle w:val="MetinGvdesiGirintisi"/>
        <w:bidi w:val="0"/>
        <w:spacing w:before="120" w:after="0"/>
        <w:ind w:hanging="0"/>
        <w:rPr>
          <w:rFonts w:ascii="Calibri" w:hAnsi="Calibri" w:cs="Calibri"/>
        </w:rPr>
      </w:pPr>
      <w:r>
        <w:rPr>
          <w:rFonts w:cs="Calibri" w:ascii="Calibri" w:hAnsi="Calibri"/>
          <w:b/>
          <w:color w:val="000000"/>
          <w:szCs w:val="24"/>
        </w:rPr>
        <w:t>Mahalli şahs-ı maneviye irtibat:</w:t>
      </w:r>
    </w:p>
    <w:p>
      <w:pPr>
        <w:pStyle w:val="MetinGvdesiGirintisi"/>
        <w:bidi w:val="0"/>
        <w:spacing w:before="120" w:after="0"/>
        <w:ind w:hanging="0"/>
        <w:rPr>
          <w:rFonts w:ascii="Calibri" w:hAnsi="Calibri" w:cs="Calibri"/>
        </w:rPr>
      </w:pPr>
      <w:r>
        <w:rPr>
          <w:rFonts w:cs="Calibri" w:ascii="Calibri" w:hAnsi="Calibri"/>
          <w:color w:val="000000"/>
          <w:szCs w:val="24"/>
        </w:rPr>
        <w:t>“</w:t>
      </w:r>
      <w:r>
        <w:rPr>
          <w:rFonts w:cs="Calibri" w:ascii="Calibri" w:hAnsi="Calibri"/>
          <w:color w:val="000000"/>
          <w:szCs w:val="24"/>
        </w:rPr>
        <w:t>O havalide Risale-i Nur’un şahs-ı manevisine karşı Halil İbrahim ile Ahmed Feyzi’nin sarsılmaz, gayet kuvvetli irtibatlarını gösterdiği”</w:t>
      </w:r>
      <w:r>
        <w:rPr>
          <w:rFonts w:cs="Calibri" w:ascii="Calibri" w:hAnsi="Calibri"/>
          <w:b/>
          <w:bCs/>
          <w:color w:val="000000"/>
          <w:szCs w:val="24"/>
        </w:rPr>
        <w:t xml:space="preserve">  (K  95)</w:t>
      </w:r>
    </w:p>
    <w:p>
      <w:pPr>
        <w:pStyle w:val="MetinGvdesiGirintisi"/>
        <w:bidi w:val="0"/>
        <w:spacing w:before="120" w:after="0"/>
        <w:ind w:hanging="0"/>
        <w:jc w:val="both"/>
        <w:rPr>
          <w:rFonts w:ascii="Calibri" w:hAnsi="Calibri" w:cs="Calibri"/>
        </w:rPr>
      </w:pPr>
      <w:r>
        <w:rPr>
          <w:rFonts w:cs="Calibri" w:ascii="Calibri" w:hAnsi="Calibri"/>
          <w:color w:val="000000"/>
          <w:szCs w:val="24"/>
        </w:rPr>
        <w:t xml:space="preserve">Mezkûr parçalar üzerinde tefsir yapmak istemiyorum. Ancak fakirin kanaat-ı şahsiyesi budur ki: Bir şey iyi olmakla beraber nefsin de hoşuna gidiyorsa, o şey teşvike muhtaç değildir. Fakat o iyi işi nefis </w:t>
      </w:r>
      <w:r>
        <w:rPr>
          <w:rFonts w:cs="Calibri" w:ascii="Calibri" w:hAnsi="Calibri"/>
          <w:color w:val="000000"/>
          <w:sz w:val="24"/>
          <w:szCs w:val="24"/>
        </w:rPr>
        <w:t xml:space="preserve">istemiyorsa, teşvike muhtaçtır. Birinci şıkkı işlesek de teşvike gidilmemelidir. Zira muhtaç değil, belâgata uymaz ve o işin muvazenesini bozar. İkinci şıkkı hatta işlemesek de teşvik etmeliyiz. Zira o iyi iş müşevviksiz kalmakla nisyan gafletine düşmesin. Binaenaleyh, bekçilik hizmetinde, irtibat hizmetindeki gibi zevk yoktur. Teemmel.. </w:t>
      </w:r>
    </w:p>
    <w:p>
      <w:pPr>
        <w:pStyle w:val="MetinGvdesiGirintisi"/>
        <w:overflowPunct w:val="true"/>
        <w:bidi w:val="0"/>
        <w:spacing w:before="120" w:after="0"/>
        <w:ind w:hanging="0"/>
        <w:jc w:val="both"/>
        <w:textAlignment w:val="baseline"/>
        <w:rPr>
          <w:rFonts w:ascii="Calibri" w:hAnsi="Calibri" w:cs="Calibri"/>
        </w:rPr>
      </w:pPr>
      <w:r>
        <w:rPr>
          <w:rFonts w:cs="Calibri" w:ascii="Calibri" w:hAnsi="Calibri"/>
          <w:color w:val="000000"/>
          <w:sz w:val="24"/>
          <w:szCs w:val="24"/>
          <w:highlight w:val="white"/>
        </w:rPr>
        <w:t xml:space="preserve">Ve keza, buluşmak ve irtibat isteyenler, suhulet için yer ve zaman tayin ederler ki buna randevu diyorlar. İşte bunun gibi ehl-i hizmetin bulundukları ve 24:36 Âyette “fî buyutin” kelimesiyle işaret edilen yerleri muayyendir. Zaman dahi ref’ edilmiştir. Yani 24 saatin 25 saati açıktır. Böylece irtibat imkânı yüksek seviyede sağlanmış olur. Evet Tullab-ı Nur’un %98’i cemiyet hayatında seyyar, %2’si ancak mahallinde sabittir. Seyyarların sabitlere irtibatları, vahdet yolu; sabitlerin seyyarlarla taleb-i irtibatları ise kesret yoludur, müşkilatlıdır, afakileştirir ve mahal-i hizmeti mesdut kılar. Halbuki mahall-i hizmet, geniş dairenin irtibat ve gayretiyle devamlı faal olmalı ki, hizmet şevkiyle sakinleri çoğaltsın. Bununla beraber dar dairenin de normal sayılacak miktarda teneffüs ve harice irtibat hakları mahfuzdur.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tr-T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tr-TR" w:eastAsia="zh-CN" w:bidi="hi-IN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MetinGvdesiGirintisi">
    <w:name w:val="Body Text Indent"/>
    <w:basedOn w:val="Normal"/>
    <w:pPr>
      <w:ind w:firstLine="705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LibreOffice/6.3.1.2$Windows_X86_64 LibreOffice_project/b79626edf0065ac373bd1df5c28bd630b4424273</Application>
  <Pages>1</Pages>
  <Words>410</Words>
  <Characters>2629</Characters>
  <CharactersWithSpaces>3030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2019-10-03T15:51:08Z</dcterms:created>
  <dc:creator/>
  <dc:description/>
  <dc:language>tr-TR</dc:language>
  <cp:lastModifiedBy/>
  <dcterms:modified xsi:type="dcterms:W3CDTF">2019-10-03T15:53:08Z</dcterms:modified>
  <cp:revision>2</cp:revision>
  <dc:subject/>
  <dc:title/>
</cp:coreProperties>
</file>